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F9" w:rsidRDefault="00BC2CE8">
      <w:pPr>
        <w:pStyle w:val="BodyText"/>
        <w:ind w:left="37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95727" cy="1143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2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2F9" w:rsidRDefault="00BC2CE8">
      <w:pPr>
        <w:spacing w:line="383" w:lineRule="exact"/>
        <w:ind w:left="1712" w:right="1395"/>
        <w:jc w:val="center"/>
        <w:rPr>
          <w:b/>
          <w:sz w:val="32"/>
        </w:rPr>
      </w:pPr>
      <w:r>
        <w:rPr>
          <w:b/>
          <w:sz w:val="32"/>
        </w:rPr>
        <w:t>Beverage and Bar Packages</w:t>
      </w:r>
    </w:p>
    <w:p w:rsidR="008B42F9" w:rsidRDefault="00BC2CE8">
      <w:pPr>
        <w:pStyle w:val="BodyText"/>
        <w:spacing w:before="189"/>
        <w:ind w:left="220"/>
      </w:pPr>
      <w:r>
        <w:rPr>
          <w:b/>
        </w:rPr>
        <w:t xml:space="preserve">Cash Bar: </w:t>
      </w:r>
      <w:r>
        <w:t>Beverages are paid for by your guests when ordered</w:t>
      </w:r>
    </w:p>
    <w:p w:rsidR="008B42F9" w:rsidRDefault="00BC2CE8">
      <w:pPr>
        <w:pStyle w:val="BodyText"/>
        <w:spacing w:before="60"/>
        <w:ind w:left="220"/>
      </w:pPr>
      <w:r>
        <w:rPr>
          <w:b/>
        </w:rPr>
        <w:t xml:space="preserve">Tab Bar: </w:t>
      </w:r>
      <w:r>
        <w:t>Beverages are tracked throughout and paid at the conclusion of event; tax and Service Charge is added, and a pre-set maximum can be set.</w:t>
      </w:r>
    </w:p>
    <w:p w:rsidR="008B42F9" w:rsidRDefault="00BC2CE8">
      <w:pPr>
        <w:pStyle w:val="BodyText"/>
        <w:spacing w:before="62"/>
        <w:ind w:left="219" w:right="92"/>
      </w:pPr>
      <w:r>
        <w:t xml:space="preserve">Bartender Fee of $150 is added for all Cash and Tab Bars, and Wine Service in the Grand View Room; there is no bartender charge in the Dining Room. </w:t>
      </w:r>
      <w:r w:rsidR="00CA6CEE">
        <w:t xml:space="preserve">$200 </w:t>
      </w:r>
      <w:r>
        <w:t>minimum for Cash and Tab Bars in the Grand View Room.</w:t>
      </w:r>
    </w:p>
    <w:p w:rsidR="008B42F9" w:rsidRDefault="00BC2CE8">
      <w:pPr>
        <w:spacing w:before="60"/>
        <w:ind w:left="220"/>
        <w:rPr>
          <w:sz w:val="24"/>
        </w:rPr>
      </w:pPr>
      <w:r>
        <w:rPr>
          <w:b/>
          <w:sz w:val="24"/>
        </w:rPr>
        <w:t xml:space="preserve">House Wine Service with Entrée: </w:t>
      </w:r>
      <w:r>
        <w:rPr>
          <w:sz w:val="24"/>
        </w:rPr>
        <w:t>$25.00 per bottle including tax and Service Charge, charged on consumption. Bartender Fee applies only for the Grand View Room.</w:t>
      </w:r>
    </w:p>
    <w:p w:rsidR="008B42F9" w:rsidRDefault="00BC2CE8">
      <w:pPr>
        <w:pStyle w:val="BodyText"/>
        <w:spacing w:before="59"/>
        <w:ind w:left="220"/>
      </w:pPr>
      <w:r>
        <w:rPr>
          <w:b/>
        </w:rPr>
        <w:t xml:space="preserve">Open Bar: </w:t>
      </w:r>
      <w:r>
        <w:t>host chooses duration of open bar and the service from below. Prices are per person and include tax and Service Charge. Minimum of 25 guests for Hosted Bar Packages.</w:t>
      </w:r>
    </w:p>
    <w:p w:rsidR="008B42F9" w:rsidRDefault="00BC2CE8">
      <w:pPr>
        <w:spacing w:before="161"/>
        <w:ind w:left="1712" w:right="1395"/>
        <w:jc w:val="center"/>
        <w:rPr>
          <w:i/>
        </w:rPr>
      </w:pPr>
      <w:r>
        <w:rPr>
          <w:i/>
        </w:rPr>
        <w:t>Prices are Per Person and include tax and Service Charge.</w:t>
      </w:r>
      <w:bookmarkStart w:id="0" w:name="_GoBack"/>
      <w:bookmarkEnd w:id="0"/>
    </w:p>
    <w:p w:rsidR="008B42F9" w:rsidRDefault="008B42F9">
      <w:pPr>
        <w:pStyle w:val="BodyText"/>
        <w:rPr>
          <w:i/>
          <w:sz w:val="20"/>
        </w:rPr>
      </w:pPr>
    </w:p>
    <w:p w:rsidR="008B42F9" w:rsidRDefault="008B42F9">
      <w:pPr>
        <w:pStyle w:val="BodyText"/>
        <w:rPr>
          <w:i/>
          <w:sz w:val="20"/>
        </w:rPr>
      </w:pPr>
    </w:p>
    <w:p w:rsidR="008B42F9" w:rsidRDefault="008B42F9">
      <w:pPr>
        <w:pStyle w:val="BodyText"/>
        <w:spacing w:before="6"/>
        <w:rPr>
          <w:i/>
          <w:sz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1192"/>
        <w:gridCol w:w="1440"/>
        <w:gridCol w:w="1304"/>
      </w:tblGrid>
      <w:tr w:rsidR="008B42F9">
        <w:trPr>
          <w:trHeight w:val="305"/>
        </w:trPr>
        <w:tc>
          <w:tcPr>
            <w:tcW w:w="6119" w:type="dxa"/>
          </w:tcPr>
          <w:p w:rsidR="008B42F9" w:rsidRDefault="00BC2CE8">
            <w:pPr>
              <w:pStyle w:val="TableParagraph"/>
              <w:spacing w:before="0" w:line="244" w:lineRule="exact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Non-Alcoholic Beverage Service</w:t>
            </w:r>
          </w:p>
        </w:tc>
        <w:tc>
          <w:tcPr>
            <w:tcW w:w="1192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744" w:type="dxa"/>
            <w:gridSpan w:val="2"/>
          </w:tcPr>
          <w:p w:rsidR="008B42F9" w:rsidRDefault="00BC2CE8">
            <w:pPr>
              <w:pStyle w:val="TableParagraph"/>
              <w:spacing w:before="0" w:line="24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Event</w:t>
            </w:r>
          </w:p>
        </w:tc>
      </w:tr>
      <w:tr w:rsidR="008B42F9">
        <w:trPr>
          <w:trHeight w:val="373"/>
        </w:trPr>
        <w:tc>
          <w:tcPr>
            <w:tcW w:w="6119" w:type="dxa"/>
          </w:tcPr>
          <w:p w:rsidR="008B42F9" w:rsidRDefault="00BC2CE8">
            <w:pPr>
              <w:pStyle w:val="TableParagraph"/>
              <w:spacing w:before="1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Soft Drinks . . . . . . . . . . . . . . . . . . . . . </w:t>
            </w:r>
            <w:proofErr w:type="gramStart"/>
            <w:r>
              <w:rPr>
                <w:b/>
                <w:sz w:val="24"/>
              </w:rPr>
              <w:t>. . . .</w:t>
            </w:r>
            <w:proofErr w:type="gramEnd"/>
          </w:p>
        </w:tc>
        <w:tc>
          <w:tcPr>
            <w:tcW w:w="1192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spacing w:before="17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$5</w:t>
            </w:r>
          </w:p>
        </w:tc>
        <w:tc>
          <w:tcPr>
            <w:tcW w:w="1304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B42F9">
        <w:trPr>
          <w:trHeight w:val="705"/>
        </w:trPr>
        <w:tc>
          <w:tcPr>
            <w:tcW w:w="6119" w:type="dxa"/>
          </w:tcPr>
          <w:p w:rsidR="008B42F9" w:rsidRDefault="00BC2CE8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Premium Non-Alcoholic Bar . . . . . . . . . . . . </w:t>
            </w:r>
            <w:proofErr w:type="gramStart"/>
            <w:r>
              <w:rPr>
                <w:b/>
                <w:sz w:val="24"/>
              </w:rPr>
              <w:t>. . . .</w:t>
            </w:r>
            <w:proofErr w:type="gramEnd"/>
          </w:p>
          <w:p w:rsidR="008B42F9" w:rsidRDefault="00BC2CE8">
            <w:pPr>
              <w:pStyle w:val="TableParagraph"/>
              <w:spacing w:before="39"/>
              <w:ind w:left="219"/>
              <w:rPr>
                <w:sz w:val="24"/>
              </w:rPr>
            </w:pPr>
            <w:r>
              <w:rPr>
                <w:sz w:val="24"/>
              </w:rPr>
              <w:t>Fruit Punch, Juices, Mocktails, Soft Drinks</w:t>
            </w:r>
          </w:p>
        </w:tc>
        <w:tc>
          <w:tcPr>
            <w:tcW w:w="1192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$8</w:t>
            </w:r>
          </w:p>
        </w:tc>
        <w:tc>
          <w:tcPr>
            <w:tcW w:w="1304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B42F9">
        <w:trPr>
          <w:trHeight w:val="352"/>
        </w:trPr>
        <w:tc>
          <w:tcPr>
            <w:tcW w:w="6119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92" w:type="dxa"/>
          </w:tcPr>
          <w:p w:rsidR="008B42F9" w:rsidRDefault="00BC2CE8">
            <w:pPr>
              <w:pStyle w:val="TableParagraph"/>
              <w:ind w:left="70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Hours</w:t>
            </w: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3 Hours</w:t>
            </w:r>
          </w:p>
        </w:tc>
        <w:tc>
          <w:tcPr>
            <w:tcW w:w="1304" w:type="dxa"/>
          </w:tcPr>
          <w:p w:rsidR="008B42F9" w:rsidRDefault="00BC2CE8">
            <w:pPr>
              <w:pStyle w:val="TableParagraph"/>
              <w:ind w:left="31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</w:tr>
      <w:tr w:rsidR="008B42F9">
        <w:trPr>
          <w:trHeight w:val="352"/>
        </w:trPr>
        <w:tc>
          <w:tcPr>
            <w:tcW w:w="6119" w:type="dxa"/>
          </w:tcPr>
          <w:p w:rsidR="008B42F9" w:rsidRDefault="00BC2CE8">
            <w:pPr>
              <w:pStyle w:val="TableParagraph"/>
              <w:spacing w:before="0" w:line="290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Alcoholic Beverage Service</w:t>
            </w:r>
          </w:p>
        </w:tc>
        <w:tc>
          <w:tcPr>
            <w:tcW w:w="1192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04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B42F9">
        <w:trPr>
          <w:trHeight w:val="705"/>
        </w:trPr>
        <w:tc>
          <w:tcPr>
            <w:tcW w:w="6119" w:type="dxa"/>
          </w:tcPr>
          <w:p w:rsidR="008B42F9" w:rsidRDefault="00BC2CE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Signature Cocktail, Mimosas &amp; House Wine . . . </w:t>
            </w:r>
            <w:proofErr w:type="gramStart"/>
            <w:r>
              <w:rPr>
                <w:b/>
                <w:sz w:val="24"/>
              </w:rPr>
              <w:t>. . . .</w:t>
            </w:r>
            <w:proofErr w:type="gramEnd"/>
            <w:r>
              <w:rPr>
                <w:b/>
                <w:sz w:val="24"/>
              </w:rPr>
              <w:t xml:space="preserve"> .</w:t>
            </w:r>
          </w:p>
          <w:p w:rsidR="008B42F9" w:rsidRDefault="00BC2CE8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Includes soft drinks</w:t>
            </w:r>
          </w:p>
        </w:tc>
        <w:tc>
          <w:tcPr>
            <w:tcW w:w="1192" w:type="dxa"/>
          </w:tcPr>
          <w:p w:rsidR="008B42F9" w:rsidRDefault="00BC2CE8">
            <w:pPr>
              <w:pStyle w:val="TableParagraph"/>
              <w:ind w:left="7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$22</w:t>
            </w: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ind w:left="518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$27</w:t>
            </w:r>
          </w:p>
        </w:tc>
        <w:tc>
          <w:tcPr>
            <w:tcW w:w="1304" w:type="dxa"/>
          </w:tcPr>
          <w:p w:rsidR="008B42F9" w:rsidRDefault="00BC2CE8">
            <w:pPr>
              <w:pStyle w:val="TableParagraph"/>
              <w:ind w:left="31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$30</w:t>
            </w:r>
          </w:p>
        </w:tc>
      </w:tr>
      <w:tr w:rsidR="008B42F9">
        <w:trPr>
          <w:trHeight w:val="705"/>
        </w:trPr>
        <w:tc>
          <w:tcPr>
            <w:tcW w:w="6119" w:type="dxa"/>
          </w:tcPr>
          <w:p w:rsidR="008B42F9" w:rsidRDefault="00BC2CE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Beer &amp; House Wine . . . . . . . . . . . . . . . . . . . . .</w:t>
            </w:r>
          </w:p>
          <w:p w:rsidR="008B42F9" w:rsidRDefault="00BC2CE8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Domestic draft beer, soft drinks</w:t>
            </w:r>
          </w:p>
        </w:tc>
        <w:tc>
          <w:tcPr>
            <w:tcW w:w="1192" w:type="dxa"/>
          </w:tcPr>
          <w:p w:rsidR="008B42F9" w:rsidRDefault="00BC2CE8">
            <w:pPr>
              <w:pStyle w:val="TableParagraph"/>
              <w:ind w:left="7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$22</w:t>
            </w: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ind w:left="518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$27</w:t>
            </w:r>
          </w:p>
        </w:tc>
        <w:tc>
          <w:tcPr>
            <w:tcW w:w="1304" w:type="dxa"/>
          </w:tcPr>
          <w:p w:rsidR="008B42F9" w:rsidRDefault="00BC2CE8">
            <w:pPr>
              <w:pStyle w:val="TableParagraph"/>
              <w:ind w:left="31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$30</w:t>
            </w:r>
          </w:p>
        </w:tc>
      </w:tr>
      <w:tr w:rsidR="008B42F9">
        <w:trPr>
          <w:trHeight w:val="999"/>
        </w:trPr>
        <w:tc>
          <w:tcPr>
            <w:tcW w:w="6119" w:type="dxa"/>
          </w:tcPr>
          <w:p w:rsidR="008B42F9" w:rsidRDefault="00BC2CE8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Signature Open Bar . . . . . . . . . . . . . . . </w:t>
            </w:r>
            <w:proofErr w:type="gramStart"/>
            <w:r>
              <w:rPr>
                <w:b/>
                <w:sz w:val="24"/>
              </w:rPr>
              <w:t>. . . .</w:t>
            </w:r>
            <w:proofErr w:type="gramEnd"/>
            <w:r>
              <w:rPr>
                <w:b/>
                <w:sz w:val="24"/>
              </w:rPr>
              <w:t xml:space="preserve"> .</w:t>
            </w:r>
          </w:p>
          <w:p w:rsidR="008B42F9" w:rsidRDefault="00BC2CE8">
            <w:pPr>
              <w:pStyle w:val="TableParagraph"/>
              <w:spacing w:before="41"/>
              <w:ind w:left="219" w:right="849"/>
              <w:rPr>
                <w:sz w:val="24"/>
              </w:rPr>
            </w:pPr>
            <w:r>
              <w:rPr>
                <w:sz w:val="24"/>
              </w:rPr>
              <w:t>House wine, well spirits, domestic draft and bottled beer, soft drinks</w:t>
            </w:r>
          </w:p>
        </w:tc>
        <w:tc>
          <w:tcPr>
            <w:tcW w:w="1192" w:type="dxa"/>
          </w:tcPr>
          <w:p w:rsidR="008B42F9" w:rsidRDefault="00BC2CE8">
            <w:pPr>
              <w:pStyle w:val="TableParagraph"/>
              <w:ind w:left="7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$27</w:t>
            </w: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ind w:left="518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$30</w:t>
            </w:r>
          </w:p>
        </w:tc>
        <w:tc>
          <w:tcPr>
            <w:tcW w:w="1304" w:type="dxa"/>
          </w:tcPr>
          <w:p w:rsidR="008B42F9" w:rsidRDefault="00BC2CE8">
            <w:pPr>
              <w:pStyle w:val="TableParagraph"/>
              <w:ind w:left="31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$33</w:t>
            </w:r>
          </w:p>
        </w:tc>
      </w:tr>
      <w:tr w:rsidR="008B42F9">
        <w:trPr>
          <w:trHeight w:val="1185"/>
        </w:trPr>
        <w:tc>
          <w:tcPr>
            <w:tcW w:w="6119" w:type="dxa"/>
          </w:tcPr>
          <w:p w:rsidR="008B42F9" w:rsidRDefault="00BC2CE8">
            <w:pPr>
              <w:pStyle w:val="TableParagraph"/>
              <w:spacing w:before="1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Platinum Open Bar . . . . . . . . . . . . . . . . . . . . .</w:t>
            </w:r>
          </w:p>
          <w:p w:rsidR="008B42F9" w:rsidRDefault="00BC2CE8">
            <w:pPr>
              <w:pStyle w:val="TableParagraph"/>
              <w:spacing w:before="41"/>
              <w:ind w:left="219" w:right="454"/>
              <w:rPr>
                <w:sz w:val="24"/>
              </w:rPr>
            </w:pPr>
            <w:r>
              <w:rPr>
                <w:sz w:val="24"/>
              </w:rPr>
              <w:t>Premium wine and spirits, imported and craft beer, soft drinks, and a specialty cocktail</w:t>
            </w:r>
          </w:p>
        </w:tc>
        <w:tc>
          <w:tcPr>
            <w:tcW w:w="1192" w:type="dxa"/>
          </w:tcPr>
          <w:p w:rsidR="008B42F9" w:rsidRDefault="00BC2CE8">
            <w:pPr>
              <w:pStyle w:val="TableParagraph"/>
              <w:spacing w:before="17"/>
              <w:ind w:left="7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$33</w:t>
            </w: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spacing w:before="17"/>
              <w:ind w:left="518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$36</w:t>
            </w:r>
          </w:p>
        </w:tc>
        <w:tc>
          <w:tcPr>
            <w:tcW w:w="1304" w:type="dxa"/>
          </w:tcPr>
          <w:p w:rsidR="008B42F9" w:rsidRDefault="00BC2CE8">
            <w:pPr>
              <w:pStyle w:val="TableParagraph"/>
              <w:spacing w:before="17"/>
              <w:ind w:left="31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$44</w:t>
            </w:r>
          </w:p>
        </w:tc>
      </w:tr>
      <w:tr w:rsidR="008B42F9">
        <w:trPr>
          <w:trHeight w:val="559"/>
        </w:trPr>
        <w:tc>
          <w:tcPr>
            <w:tcW w:w="6119" w:type="dxa"/>
          </w:tcPr>
          <w:p w:rsidR="008B42F9" w:rsidRDefault="00BC2CE8">
            <w:pPr>
              <w:pStyle w:val="TableParagraph"/>
              <w:spacing w:before="204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One-time Beverage Service</w:t>
            </w:r>
          </w:p>
        </w:tc>
        <w:tc>
          <w:tcPr>
            <w:tcW w:w="3936" w:type="dxa"/>
            <w:gridSpan w:val="3"/>
          </w:tcPr>
          <w:p w:rsidR="008B42F9" w:rsidRDefault="00BC2CE8">
            <w:pPr>
              <w:pStyle w:val="TableParagraph"/>
              <w:spacing w:before="204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Any time during Event</w:t>
            </w:r>
          </w:p>
        </w:tc>
      </w:tr>
      <w:tr w:rsidR="008B42F9">
        <w:trPr>
          <w:trHeight w:val="639"/>
        </w:trPr>
        <w:tc>
          <w:tcPr>
            <w:tcW w:w="6119" w:type="dxa"/>
          </w:tcPr>
          <w:p w:rsidR="008B42F9" w:rsidRDefault="00BC2CE8">
            <w:pPr>
              <w:pStyle w:val="TableParagraph"/>
              <w:spacing w:before="1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Sparkling Wine Toast . . . . . . . . . . . . . . . </w:t>
            </w:r>
            <w:proofErr w:type="gramStart"/>
            <w:r>
              <w:rPr>
                <w:b/>
                <w:sz w:val="24"/>
              </w:rPr>
              <w:t>. . . .</w:t>
            </w:r>
            <w:proofErr w:type="gramEnd"/>
          </w:p>
          <w:p w:rsidR="008B42F9" w:rsidRDefault="00BC2CE8">
            <w:pPr>
              <w:pStyle w:val="TableParagraph"/>
              <w:spacing w:before="41"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Includes a non-alcoholic alternative</w:t>
            </w:r>
          </w:p>
        </w:tc>
        <w:tc>
          <w:tcPr>
            <w:tcW w:w="1192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8B42F9" w:rsidRDefault="00BC2CE8">
            <w:pPr>
              <w:pStyle w:val="TableParagraph"/>
              <w:spacing w:before="17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$11</w:t>
            </w:r>
          </w:p>
        </w:tc>
        <w:tc>
          <w:tcPr>
            <w:tcW w:w="1304" w:type="dxa"/>
          </w:tcPr>
          <w:p w:rsidR="008B42F9" w:rsidRDefault="008B42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8B42F9" w:rsidRDefault="008B42F9">
      <w:pPr>
        <w:pStyle w:val="BodyText"/>
        <w:spacing w:before="6"/>
        <w:rPr>
          <w:i/>
          <w:sz w:val="29"/>
        </w:rPr>
      </w:pPr>
    </w:p>
    <w:p w:rsidR="008B42F9" w:rsidRDefault="00BC2CE8">
      <w:pPr>
        <w:spacing w:before="57"/>
        <w:ind w:left="1714" w:right="1395"/>
        <w:jc w:val="center"/>
        <w:rPr>
          <w:i/>
        </w:rPr>
      </w:pPr>
      <w:r>
        <w:rPr>
          <w:i/>
        </w:rPr>
        <w:t>Package details and menu prices are subject to change.</w:t>
      </w:r>
    </w:p>
    <w:p w:rsidR="008B42F9" w:rsidRDefault="008B42F9">
      <w:pPr>
        <w:pStyle w:val="BodyText"/>
        <w:spacing w:before="3"/>
        <w:rPr>
          <w:i/>
          <w:sz w:val="25"/>
        </w:rPr>
      </w:pPr>
    </w:p>
    <w:p w:rsidR="008B42F9" w:rsidRDefault="00BC2CE8">
      <w:pPr>
        <w:spacing w:before="56"/>
        <w:ind w:left="1714" w:right="1395"/>
        <w:jc w:val="center"/>
        <w:rPr>
          <w:i/>
        </w:rPr>
      </w:pPr>
      <w:r>
        <w:rPr>
          <w:i/>
        </w:rPr>
        <w:t>Subject to the Terms and Conditions of Ashbury’s at Boughton Ridge Golf Course. 11/24</w:t>
      </w:r>
    </w:p>
    <w:sectPr w:rsidR="008B42F9">
      <w:type w:val="continuous"/>
      <w:pgSz w:w="12240" w:h="15840"/>
      <w:pgMar w:top="440" w:right="820" w:bottom="280" w:left="500" w:header="720" w:footer="720" w:gutter="0"/>
      <w:pgBorders w:offsetFrom="page">
        <w:top w:val="double" w:sz="4" w:space="16" w:color="FFE499"/>
        <w:left w:val="double" w:sz="4" w:space="16" w:color="FFE499"/>
        <w:bottom w:val="double" w:sz="4" w:space="16" w:color="FFE499"/>
        <w:right w:val="double" w:sz="4" w:space="16" w:color="FFE4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2F9"/>
    <w:rsid w:val="008B42F9"/>
    <w:rsid w:val="00BC2CE8"/>
    <w:rsid w:val="00C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71A1"/>
  <w15:docId w15:val="{C8EDA9F4-8BEA-433B-89BD-DDAEC3E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Bolingbrook Park District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Hutcheon</dc:creator>
  <cp:lastModifiedBy>Nathan Oestreich</cp:lastModifiedBy>
  <cp:revision>3</cp:revision>
  <dcterms:created xsi:type="dcterms:W3CDTF">2024-11-26T20:51:00Z</dcterms:created>
  <dcterms:modified xsi:type="dcterms:W3CDTF">2024-12-05T17:40:00Z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2024-11-26T00:00:00Z</vt:filetime>
  </property>
</Properties>
</file>